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/>
        <w:jc w:val="center"/>
      </w:pPr>
      <w:r>
        <w:rPr>
          <w:rFonts w:ascii="Calibri" w:cs="Calibri" w:eastAsia="Calibri" w:hAnsi="Calibri"/>
          <w:b/>
          <w:bCs/>
          <w:i w:val="false"/>
          <w:iCs w:val="false"/>
          <w:color w:val="0B6F66"/>
          <w:sz w:val="40"/>
          <w:szCs w:val="40"/>
        </w:rPr>
        <w:t xml:space="preserve">Vendor Security Checklist</w:t>
      </w:r>
    </w:p>
    <w:p>
      <w:pPr>
        <w:spacing w:after="240" w:before="0"/>
        <w:jc w:val="center"/>
      </w:pPr>
      <w:r>
        <w:rPr>
          <w:rFonts w:ascii="Calibri" w:cs="Calibri" w:eastAsia="Calibri" w:hAnsi="Calibri"/>
          <w:b w:val="false"/>
          <w:bCs w:val="false"/>
          <w:i/>
          <w:iCs/>
          <w:color w:val="666666"/>
          <w:sz w:val="22"/>
          <w:szCs w:val="22"/>
        </w:rPr>
        <w:t xml:space="preserve">A 15-minute due-diligence check before you sign with any supplier</w:t>
      </w:r>
    </w:p>
    <w:tbl>
      <w:tblPr>
        <w:tblW w:type="dxa" w:w="10080"/>
        <w:tblBorders>
          <w:top w:val="single" w:color="C9D6D4" w:sz="4"/>
          <w:left w:val="single" w:color="C9D6D4" w:sz="4"/>
          <w:bottom w:val="single" w:color="C9D6D4" w:sz="4"/>
          <w:right w:val="single" w:color="C9D6D4" w:sz="4"/>
          <w:insideH w:val="single" w:color="C9D6D4" w:sz="4"/>
          <w:insideV w:val="single" w:color="C9D6D4" w:sz="4"/>
        </w:tblBorders>
      </w:tblPr>
      <w:tblGrid>
        <w:gridCol w:w="2600"/>
        <w:gridCol w:w="7480"/>
      </w:tblGrid>
      <w:tr>
        <w:tc>
          <w:tcPr>
            <w:tcW w:type="dxa" w:w="2600"/>
            <w:shd w:fill="E8F6F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19"/>
                <w:szCs w:val="19"/>
              </w:rPr>
              <w:t xml:space="preserve">Vendor being assessed</w:t>
            </w:r>
          </w:p>
        </w:tc>
        <w:tc>
          <w:tcPr>
            <w:tcW w:type="dxa" w:w="748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________________________________________________</w:t>
            </w:r>
          </w:p>
        </w:tc>
      </w:tr>
      <w:tr>
        <w:tc>
          <w:tcPr>
            <w:tcW w:type="dxa" w:w="2600"/>
            <w:shd w:fill="E8F6F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19"/>
                <w:szCs w:val="19"/>
              </w:rPr>
              <w:t xml:space="preserve">Service / product</w:t>
            </w:r>
          </w:p>
        </w:tc>
        <w:tc>
          <w:tcPr>
            <w:tcW w:type="dxa" w:w="748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________________________________________________</w:t>
            </w:r>
          </w:p>
        </w:tc>
      </w:tr>
      <w:tr>
        <w:tc>
          <w:tcPr>
            <w:tcW w:type="dxa" w:w="2600"/>
            <w:shd w:fill="E8F6F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19"/>
                <w:szCs w:val="19"/>
              </w:rPr>
              <w:t xml:space="preserve">Assessed by</w:t>
            </w:r>
          </w:p>
        </w:tc>
        <w:tc>
          <w:tcPr>
            <w:tcW w:type="dxa" w:w="748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________________________________     Date: ______________</w:t>
            </w:r>
          </w:p>
        </w:tc>
      </w:tr>
      <w:tr>
        <w:tc>
          <w:tcPr>
            <w:tcW w:type="dxa" w:w="2600"/>
            <w:shd w:fill="E8F6F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19"/>
                <w:szCs w:val="19"/>
              </w:rPr>
              <w:t xml:space="preserve">Version</w:t>
            </w:r>
          </w:p>
        </w:tc>
        <w:tc>
          <w:tcPr>
            <w:tcW w:type="dxa" w:w="748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2.0 (July 2026) — replaces v1.0 (Sep 2025)</w:t>
            </w:r>
          </w:p>
        </w:tc>
      </w:tr>
    </w:tbl>
    <w:tbl>
      <w:tblPr>
        <w:tblW w:type="dxa" w:w="10080"/>
        <w:tblBorders>
          <w:top w:val="single" w:color="0F9B8E" w:sz="4"/>
          <w:left w:val="single" w:color="0F9B8E" w:sz="18"/>
          <w:bottom w:val="single" w:color="0F9B8E" w:sz="4"/>
          <w:right w:val="single" w:color="0F9B8E" w:sz="4"/>
          <w:insideH w:val="none" w:color="FFFFFF" w:sz="0"/>
          <w:insideV w:val="none" w:color="FFFFFF" w:sz="0"/>
        </w:tblBorders>
      </w:tblPr>
      <w:tblGrid>
        <w:gridCol w:w="10080"/>
      </w:tblGrid>
      <w:tr>
        <w:tc>
          <w:tcPr>
            <w:tcW w:type="dxa" w:w="10080"/>
            <w:shd w:fill="E8F6F4" w:color="auto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pPr>
              <w:spacing w:after="10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22"/>
                <w:szCs w:val="22"/>
              </w:rPr>
              <w:t xml:space="preserve">How to use this checklist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Run it as a short huddle — around 15 minutes is enough for most suppliers.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Section A is pass/fail. If the vendor fails any Section A gate, stop: do not proceed until it is resolved.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For Sections B–E, tick Yes, Partly or No, and write in an owner and due date for anything that is not a clear Yes.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Scoring: Yes = 2, Partly = 1, No = 0. Add up your score out of 26 and follow the action table.</w:t>
            </w:r>
          </w:p>
        </w:tc>
      </w:tr>
    </w:tbl>
    <w:p>
      <w:pPr>
        <w:pBdr>
          <w:bottom w:val="single" w:color="0F9B8E" w:sz="6" w:space="4"/>
        </w:pBdr>
        <w:spacing w:after="14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B6F66"/>
          <w:sz w:val="26"/>
          <w:szCs w:val="26"/>
        </w:rPr>
        <w:t xml:space="preserve">Section A — Must-pass gates</w:t>
      </w:r>
    </w:p>
    <w:p>
      <w:pPr>
        <w:spacing w:after="120" w:before="0" w:line="260"/>
      </w:pPr>
      <w:r>
        <w:rPr>
          <w:rFonts w:ascii="Calibri" w:cs="Calibri" w:eastAsia="Calibri" w:hAnsi="Calibri"/>
          <w:b w:val="false"/>
          <w:bCs w:val="false"/>
          <w:i/>
          <w:iCs/>
          <w:color w:val="1F2933"/>
          <w:sz w:val="20"/>
          <w:szCs w:val="20"/>
        </w:rPr>
        <w:t xml:space="preserve">A failure here means reject the vendor, or pause until it is fixed.</w:t>
      </w:r>
    </w:p>
    <w:tbl>
      <w:tblPr>
        <w:tblW w:type="dxa" w:w="10080"/>
        <w:tblBorders>
          <w:top w:val="single" w:color="C9D6D4" w:sz="4"/>
          <w:left w:val="single" w:color="C9D6D4" w:sz="4"/>
          <w:bottom w:val="single" w:color="C9D6D4" w:sz="4"/>
          <w:right w:val="single" w:color="C9D6D4" w:sz="4"/>
          <w:insideH w:val="single" w:color="C9D6D4" w:sz="4"/>
          <w:insideV w:val="single" w:color="C9D6D4" w:sz="4"/>
        </w:tblBorders>
      </w:tblPr>
      <w:tblGrid>
        <w:gridCol w:w="420"/>
        <w:gridCol w:w="5000"/>
        <w:gridCol w:w="700"/>
        <w:gridCol w:w="700"/>
        <w:gridCol w:w="3260"/>
      </w:tblGrid>
      <w:tr>
        <w:trPr>
          <w:tblHeader/>
        </w:trPr>
        <w:tc>
          <w:tcPr>
            <w:tcW w:type="dxa" w:w="42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#</w:t>
            </w:r>
          </w:p>
        </w:tc>
        <w:tc>
          <w:tcPr>
            <w:tcW w:type="dxa" w:w="500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Must-pass check</w:t>
            </w:r>
          </w:p>
        </w:tc>
        <w:tc>
          <w:tcPr>
            <w:tcW w:type="dxa" w:w="70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Pass</w:t>
            </w:r>
          </w:p>
        </w:tc>
        <w:tc>
          <w:tcPr>
            <w:tcW w:type="dxa" w:w="70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Fail</w:t>
            </w:r>
          </w:p>
        </w:tc>
        <w:tc>
          <w:tcPr>
            <w:tcW w:type="dxa" w:w="326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Notes / evidence</w:t>
            </w:r>
          </w:p>
        </w:tc>
      </w:tr>
      <w:tr>
        <w:trPr>
          <w:trHeight w:val="440" w:hRule="atLeast"/>
        </w:trPr>
        <w:tc>
          <w:tcPr>
            <w:tcW w:type="dxa" w:w="420"/>
            <w:shd w:fill="E8F6F4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1</w:t>
            </w:r>
          </w:p>
        </w:tc>
        <w:tc>
          <w:tcPr>
            <w:tcW w:type="dxa" w:w="50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Vendor identity verified through independent sources (companies register, official website, known contact).</w:t>
            </w:r>
          </w:p>
        </w:tc>
        <w:tc>
          <w:tcPr>
            <w:tcW w:type="dxa" w:w="7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32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shd w:fill="E8F6F4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2</w:t>
            </w:r>
          </w:p>
        </w:tc>
        <w:tc>
          <w:tcPr>
            <w:tcW w:type="dxa" w:w="50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No sanctions, fraud, or conflict-of-interest flags found.</w:t>
            </w:r>
          </w:p>
        </w:tc>
        <w:tc>
          <w:tcPr>
            <w:tcW w:type="dxa" w:w="7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32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shd w:fill="E8F6F4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3</w:t>
            </w:r>
          </w:p>
        </w:tc>
        <w:tc>
          <w:tcPr>
            <w:tcW w:type="dxa" w:w="50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Signed code of conduct and compliance agreement in place.</w:t>
            </w:r>
          </w:p>
        </w:tc>
        <w:tc>
          <w:tcPr>
            <w:tcW w:type="dxa" w:w="7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32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shd w:fill="E8F6F4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4</w:t>
            </w:r>
          </w:p>
        </w:tc>
        <w:tc>
          <w:tcPr>
            <w:tcW w:type="dxa" w:w="50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Meets our critical security and data protection requirements.</w:t>
            </w:r>
          </w:p>
        </w:tc>
        <w:tc>
          <w:tcPr>
            <w:tcW w:type="dxa" w:w="7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32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</w:tbl>
    <w:p>
      <w:pPr>
        <w:spacing w:after="20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/>
      </w:r>
    </w:p>
    <w:p>
      <w:pPr>
        <w:pBdr>
          <w:bottom w:val="single" w:color="0F9B8E" w:sz="6" w:space="4"/>
        </w:pBdr>
        <w:spacing w:after="14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B6F66"/>
          <w:sz w:val="26"/>
          <w:szCs w:val="26"/>
        </w:rPr>
        <w:t xml:space="preserve">Section B–E — Scored checks</w:t>
      </w:r>
    </w:p>
    <w:tbl>
      <w:tblPr>
        <w:tblW w:type="dxa" w:w="10080"/>
        <w:tblBorders>
          <w:top w:val="single" w:color="C9D6D4" w:sz="4"/>
          <w:left w:val="single" w:color="C9D6D4" w:sz="4"/>
          <w:bottom w:val="single" w:color="C9D6D4" w:sz="4"/>
          <w:right w:val="single" w:color="C9D6D4" w:sz="4"/>
          <w:insideH w:val="single" w:color="C9D6D4" w:sz="4"/>
          <w:insideV w:val="single" w:color="C9D6D4" w:sz="4"/>
        </w:tblBorders>
      </w:tblPr>
      <w:tblGrid>
        <w:gridCol w:w="420"/>
        <w:gridCol w:w="4520"/>
        <w:gridCol w:w="640"/>
        <w:gridCol w:w="760"/>
        <w:gridCol w:w="600"/>
        <w:gridCol w:w="1620"/>
        <w:gridCol w:w="1520"/>
      </w:tblGrid>
      <w:tr>
        <w:trPr>
          <w:tblHeader/>
        </w:trPr>
        <w:tc>
          <w:tcPr>
            <w:tcW w:type="dxa" w:w="42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#</w:t>
            </w:r>
          </w:p>
        </w:tc>
        <w:tc>
          <w:tcPr>
            <w:tcW w:type="dxa" w:w="452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Check</w:t>
            </w:r>
          </w:p>
        </w:tc>
        <w:tc>
          <w:tcPr>
            <w:tcW w:type="dxa" w:w="64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Yes (2)</w:t>
            </w:r>
          </w:p>
        </w:tc>
        <w:tc>
          <w:tcPr>
            <w:tcW w:type="dxa" w:w="76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Partly (1)</w:t>
            </w:r>
          </w:p>
        </w:tc>
        <w:tc>
          <w:tcPr>
            <w:tcW w:type="dxa" w:w="60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No (0)</w:t>
            </w:r>
          </w:p>
        </w:tc>
        <w:tc>
          <w:tcPr>
            <w:tcW w:type="dxa" w:w="162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Owner</w:t>
            </w:r>
          </w:p>
        </w:tc>
        <w:tc>
          <w:tcPr>
            <w:tcW w:type="dxa" w:w="152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Due date</w:t>
            </w:r>
          </w:p>
        </w:tc>
      </w:tr>
      <w:tr>
        <w:tc>
          <w:tcPr>
            <w:tcW w:type="dxa" w:w="10080"/>
            <w:gridSpan w:val="7"/>
            <w:shd w:fill="E8F6F4" w:color="auto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19"/>
                <w:szCs w:val="19"/>
              </w:rPr>
              <w:t xml:space="preserve">Section B — Verification &amp; controls</w:t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5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Vendor registration documents validated.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6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Background checks and references completed.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7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Ownership and beneficial owner disclosed.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80"/>
            <w:gridSpan w:val="7"/>
            <w:shd w:fill="E8F6F4" w:color="auto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19"/>
                <w:szCs w:val="19"/>
              </w:rPr>
              <w:t xml:space="preserve">Section C — Data &amp; privacy</w:t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8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Data handling and retention policy reviewed and acceptable.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9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GDPR / UK GDPR (as amended by the Data (Use and Access) Act 2025) or CCPA compliance confirmed, if applicable.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10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AI and data use disclosed — including whether our data trains their models, and whether we can opt out.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11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Vendor’s role under the EU AI Act confirmed (provider, deployer or general-purpose AI provider), and any high-risk use identified.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80"/>
            <w:gridSpan w:val="7"/>
            <w:shd w:fill="E8F6F4" w:color="auto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19"/>
                <w:szCs w:val="19"/>
              </w:rPr>
              <w:t xml:space="preserve">Section D — Security &amp; access</w:t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12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Information security certifications in place (ISO/IEC 27001, SOC 2 or equivalent).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13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Access controls, authentication and monitoring enforced.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14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Incident response and breach notification process is clear, with agreed timescales.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80"/>
            <w:gridSpan w:val="7"/>
            <w:shd w:fill="E8F6F4" w:color="auto" w:val="clear"/>
            <w:tcMar>
              <w:top w:type="dxa" w:w="70"/>
              <w:left w:type="dxa" w:w="120"/>
              <w:bottom w:type="dxa" w:w="70"/>
              <w:right w:type="dxa" w:w="120"/>
            </w:tcMar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19"/>
                <w:szCs w:val="19"/>
              </w:rPr>
              <w:t xml:space="preserve">Section E — Oversight &amp; responsible use</w:t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15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Signed contract includes compliance, data protection and audit clauses.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16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Vendor performance reviewed at least annually.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  <w:tr>
        <w:trPr>
          <w:trHeight w:val="440" w:hRule="atLeast"/>
        </w:trPr>
        <w:tc>
          <w:tcPr>
            <w:tcW w:type="dxa" w:w="4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8"/>
                <w:szCs w:val="18"/>
              </w:rPr>
              <w:t xml:space="preserve">17</w:t>
            </w:r>
          </w:p>
        </w:tc>
        <w:tc>
          <w:tcPr>
            <w:tcW w:type="dxa" w:w="4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Exit and termination plan defined, including return or deletion of our data.</w:t>
            </w:r>
          </w:p>
        </w:tc>
        <w:tc>
          <w:tcPr>
            <w:tcW w:type="dxa" w:w="64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76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6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2"/>
                <w:szCs w:val="22"/>
              </w:rPr>
              <w:t xml:space="preserve">☐</w:t>
            </w:r>
          </w:p>
        </w:tc>
        <w:tc>
          <w:tcPr>
            <w:tcW w:type="dxa" w:w="16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  <w:tc>
          <w:tcPr>
            <w:tcW w:type="dxa" w:w="152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/>
            </w:r>
          </w:p>
        </w:tc>
      </w:tr>
    </w:tbl>
    <w:p>
      <w:pPr>
        <w:spacing w:after="20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/>
      </w:r>
    </w:p>
    <w:p>
      <w:pPr>
        <w:pBdr>
          <w:bottom w:val="single" w:color="0F9B8E" w:sz="6" w:space="4"/>
        </w:pBdr>
        <w:spacing w:after="14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B6F66"/>
          <w:sz w:val="26"/>
          <w:szCs w:val="26"/>
        </w:rPr>
        <w:t xml:space="preserve">Your score</w:t>
      </w:r>
    </w:p>
    <w:tbl>
      <w:tblPr>
        <w:tblW w:type="dxa" w:w="10080"/>
        <w:tblBorders>
          <w:top w:val="single" w:color="C9D6D4" w:sz="4"/>
          <w:left w:val="single" w:color="C9D6D4" w:sz="4"/>
          <w:bottom w:val="single" w:color="C9D6D4" w:sz="4"/>
          <w:right w:val="single" w:color="C9D6D4" w:sz="4"/>
          <w:insideH w:val="single" w:color="C9D6D4" w:sz="4"/>
          <w:insideV w:val="single" w:color="C9D6D4" w:sz="4"/>
        </w:tblBorders>
      </w:tblPr>
      <w:tblGrid>
        <w:gridCol w:w="7080"/>
        <w:gridCol w:w="3000"/>
      </w:tblGrid>
      <w:tr>
        <w:trPr>
          <w:trHeight w:val="560" w:hRule="atLeast"/>
        </w:trPr>
        <w:tc>
          <w:tcPr>
            <w:tcW w:type="dxa" w:w="7080"/>
            <w:shd w:fill="E8F6F4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20"/>
                <w:szCs w:val="20"/>
              </w:rPr>
              <w:t xml:space="preserve">Your total score  (Yes = 2, Partly = 1, No = 0)</w:t>
            </w:r>
          </w:p>
        </w:tc>
        <w:tc>
          <w:tcPr>
            <w:tcW w:type="dxa" w:w="300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22"/>
                <w:szCs w:val="22"/>
              </w:rPr>
              <w:t xml:space="preserve">________  out of  26</w:t>
            </w:r>
          </w:p>
        </w:tc>
      </w:tr>
    </w:tbl>
    <w:p>
      <w:pPr>
        <w:spacing w:after="14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/>
      </w:r>
    </w:p>
    <w:tbl>
      <w:tblPr>
        <w:tblW w:type="dxa" w:w="10080"/>
        <w:tblBorders>
          <w:top w:val="single" w:color="C9D6D4" w:sz="4"/>
          <w:left w:val="single" w:color="C9D6D4" w:sz="4"/>
          <w:bottom w:val="single" w:color="C9D6D4" w:sz="4"/>
          <w:right w:val="single" w:color="C9D6D4" w:sz="4"/>
          <w:insideH w:val="single" w:color="C9D6D4" w:sz="4"/>
          <w:insideV w:val="single" w:color="C9D6D4" w:sz="4"/>
        </w:tblBorders>
      </w:tblPr>
      <w:tblGrid>
        <w:gridCol w:w="2200"/>
        <w:gridCol w:w="7880"/>
      </w:tblGrid>
      <w:tr>
        <w:trPr>
          <w:tblHeader/>
        </w:trPr>
        <w:tc>
          <w:tcPr>
            <w:tcW w:type="dxa" w:w="220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Score</w:t>
            </w:r>
          </w:p>
        </w:tc>
        <w:tc>
          <w:tcPr>
            <w:tcW w:type="dxa" w:w="7880"/>
            <w:shd w:fill="0F9B8E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What to do next</w:t>
            </w:r>
          </w:p>
        </w:tc>
      </w:tr>
      <w:tr>
        <w:tc>
          <w:tcPr>
            <w:tcW w:type="dxa" w:w="2200"/>
            <w:shd w:fill="E9F7EC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2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7692C"/>
                <w:sz w:val="20"/>
                <w:szCs w:val="20"/>
              </w:rPr>
              <w:t xml:space="preserve">22–26</w:t>
            </w:r>
          </w:p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7692C"/>
                <w:sz w:val="17"/>
                <w:szCs w:val="17"/>
              </w:rPr>
              <w:t xml:space="preserve">Low risk</w:t>
            </w:r>
          </w:p>
        </w:tc>
        <w:tc>
          <w:tcPr>
            <w:tcW w:type="dxa" w:w="788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Good position. Proceed, record the assessment, and diarise the annual review.</w:t>
            </w:r>
          </w:p>
        </w:tc>
      </w:tr>
      <w:tr>
        <w:tc>
          <w:tcPr>
            <w:tcW w:type="dxa" w:w="2200"/>
            <w:shd w:fill="FFF6E5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2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8A6100"/>
                <w:sz w:val="20"/>
                <w:szCs w:val="20"/>
              </w:rPr>
              <w:t xml:space="preserve">13–21</w:t>
            </w:r>
          </w:p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8A6100"/>
                <w:sz w:val="17"/>
                <w:szCs w:val="17"/>
              </w:rPr>
              <w:t xml:space="preserve">Moderate</w:t>
            </w:r>
          </w:p>
        </w:tc>
        <w:tc>
          <w:tcPr>
            <w:tcW w:type="dxa" w:w="788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Proceed with conditions. Fix the quick wins within 14 days and get written answers on any “No” before signing.</w:t>
            </w:r>
          </w:p>
        </w:tc>
      </w:tr>
      <w:tr>
        <w:tc>
          <w:tcPr>
            <w:tcW w:type="dxa" w:w="2200"/>
            <w:shd w:fill="FDECEC" w:color="auto" w:val="clear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2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9B2C2C"/>
                <w:sz w:val="20"/>
                <w:szCs w:val="20"/>
              </w:rPr>
              <w:t xml:space="preserve">0–12</w:t>
            </w:r>
          </w:p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9B2C2C"/>
                <w:sz w:val="17"/>
                <w:szCs w:val="17"/>
              </w:rPr>
              <w:t xml:space="preserve">High risk</w:t>
            </w:r>
          </w:p>
        </w:tc>
        <w:tc>
          <w:tcPr>
            <w:tcW w:type="dxa" w:w="7880"/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Do not sign yet. Escalate to a director, request evidence, and re-run this checklist once gaps are closed.</w:t>
            </w:r>
          </w:p>
        </w:tc>
      </w:tr>
    </w:tbl>
    <w:p>
      <w:pPr>
        <w:spacing w:after="20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/>
      </w:r>
    </w:p>
    <w:p>
      <w:pPr>
        <w:pBdr>
          <w:bottom w:val="single" w:color="0F9B8E" w:sz="6" w:space="4"/>
        </w:pBdr>
        <w:spacing w:after="14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B6F66"/>
          <w:sz w:val="26"/>
          <w:szCs w:val="26"/>
        </w:rPr>
        <w:t xml:space="preserve">Decision</w:t>
      </w:r>
    </w:p>
    <w:tbl>
      <w:tblPr>
        <w:tblW w:type="dxa" w:w="10080"/>
        <w:tblBorders>
          <w:top w:val="single" w:color="C9D6D4" w:sz="4"/>
          <w:left w:val="single" w:color="C9D6D4" w:sz="4"/>
          <w:bottom w:val="single" w:color="C9D6D4" w:sz="4"/>
          <w:right w:val="single" w:color="C9D6D4" w:sz="4"/>
          <w:insideH w:val="single" w:color="C9D6D4" w:sz="4"/>
          <w:insideV w:val="single" w:color="C9D6D4" w:sz="4"/>
        </w:tblBorders>
      </w:tblPr>
      <w:tblGrid>
        <w:gridCol w:w="10080"/>
      </w:tblGrid>
      <w:tr>
        <w:tc>
          <w:tcPr>
            <w:tcW w:type="dxa" w:w="10080"/>
            <w:tcMar>
              <w:top w:type="dxa" w:w="140"/>
              <w:left w:type="dxa" w:w="160"/>
              <w:bottom w:type="dxa" w:w="140"/>
              <w:right w:type="dxa" w:w="160"/>
            </w:tcMar>
          </w:tcPr>
          <w:p>
            <w:pPr>
              <w:spacing w:after="12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20"/>
                <w:szCs w:val="20"/>
              </w:rPr>
              <w:t xml:space="preserve">Outcome of this assessment</w:t>
            </w:r>
          </w:p>
          <w:p>
            <w:pPr>
              <w:spacing w:after="16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>☐  Approve      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>☐  Approve with conditions      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20"/>
                <w:szCs w:val="20"/>
              </w:rPr>
              <w:t xml:space="preserve">☐  Reject</w:t>
            </w:r>
          </w:p>
          <w:p>
            <w:pPr>
              <w:spacing w:after="6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Decision made by: ______________________________     Role: ______________________     Date: ______________</w:t>
            </w:r>
          </w:p>
          <w:p>
            <w:pPr>
              <w:spacing w:after="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8"/>
                <w:szCs w:val="18"/>
              </w:rPr>
              <w:t xml:space="preserve">Review again on: ______________________________</w:t>
            </w:r>
          </w:p>
        </w:tc>
      </w:tr>
    </w:tbl>
    <w:p>
      <w:pPr>
        <w:spacing w:after="20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/>
      </w:r>
    </w:p>
    <w:p>
      <w:pPr>
        <w:pBdr>
          <w:bottom w:val="single" w:color="0F9B8E" w:sz="6" w:space="4"/>
        </w:pBdr>
        <w:spacing w:after="14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B6F66"/>
          <w:sz w:val="26"/>
          <w:szCs w:val="26"/>
        </w:rPr>
        <w:t xml:space="preserve">2026 update — extra questions worth asking</w:t>
      </w:r>
    </w:p>
    <w:tbl>
      <w:tblPr>
        <w:tblW w:type="dxa" w:w="10080"/>
        <w:tblBorders>
          <w:top w:val="single" w:color="0F9B8E" w:sz="4"/>
          <w:left w:val="single" w:color="0F9B8E" w:sz="18"/>
          <w:bottom w:val="single" w:color="0F9B8E" w:sz="4"/>
          <w:right w:val="single" w:color="0F9B8E" w:sz="4"/>
          <w:insideH w:val="none" w:color="FFFFFF" w:sz="0"/>
          <w:insideV w:val="none" w:color="FFFFFF" w:sz="0"/>
        </w:tblBorders>
      </w:tblPr>
      <w:tblGrid>
        <w:gridCol w:w="10080"/>
      </w:tblGrid>
      <w:tr>
        <w:tc>
          <w:tcPr>
            <w:tcW w:type="dxa" w:w="10080"/>
            <w:shd w:fill="E8F6F4" w:color="auto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pPr>
              <w:spacing w:after="10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B6F66"/>
                <w:sz w:val="22"/>
                <w:szCs w:val="22"/>
              </w:rPr>
              <w:t xml:space="preserve">New for 2026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9"/>
                <w:szCs w:val="19"/>
              </w:rPr>
              <w:t xml:space="preserve">EU AI Act role.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Ask the vendor to confirm in writing whether they are a provider, deployer or general-purpose AI provider, and whether any system is high-risk. High-risk duties now apply from 2 December 2027 (Annex III) and 2 August 2028 (Annex I).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9"/>
                <w:szCs w:val="19"/>
              </w:rPr>
              <w:t xml:space="preserve">AI content marking.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Does the vendor label AI-generated content and mark it in a machine-readable format? Article 50 transparency duties apply from 2 August 2026.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9"/>
                <w:szCs w:val="19"/>
              </w:rPr>
              <w:t xml:space="preserve">Training on your data.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Get a clear written answer on whether your data is used to train their models, and whether you can opt out.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9"/>
                <w:szCs w:val="19"/>
              </w:rPr>
              <w:t xml:space="preserve">UK data law.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If UK personal data is involved, confirm alignment with the Data (Use and Access) Act 2025, including the complaints duty in force from 19 June 2026.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F2933"/>
                <w:sz w:val="19"/>
                <w:szCs w:val="19"/>
              </w:rPr>
              <w:t xml:space="preserve">AI incident reporting.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Will they tell you about AI-specific failures and serious incidents, not just personal-data breaches?</w:t>
            </w:r>
          </w:p>
        </w:tc>
      </w:tr>
    </w:tbl>
    <w:p>
      <w:pPr>
        <w:spacing w:after="16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/>
      </w:r>
    </w:p>
    <w:p>
      <w:pPr>
        <w:pBdr>
          <w:bottom w:val="single" w:color="0F9B8E" w:sz="6" w:space="4"/>
        </w:pBdr>
        <w:spacing w:after="14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B6F66"/>
          <w:sz w:val="26"/>
          <w:szCs w:val="26"/>
        </w:rPr>
        <w:t xml:space="preserve">Reference frameworks</w:t>
      </w:r>
    </w:p>
    <w:p>
      <w:pPr>
        <w:pStyle w:val="ListParagraph"/>
        <w:numPr>
          <w:ilvl w:val="0"/>
          <w:numId w:val="1"/>
        </w:numPr>
        <w:spacing w:after="40" w:before="40" w:line="2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>ISO/IEC 42001:2023 — Artificial Intelligence Management Systems.</w:t>
      </w:r>
    </w:p>
    <w:p>
      <w:pPr>
        <w:pStyle w:val="ListParagraph"/>
        <w:numPr>
          <w:ilvl w:val="0"/>
          <w:numId w:val="1"/>
        </w:numPr>
        <w:spacing w:after="40" w:before="40" w:line="2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>ISO/IEC 27001:2022 — Information Security Management.</w:t>
      </w:r>
    </w:p>
    <w:p>
      <w:pPr>
        <w:pStyle w:val="ListParagraph"/>
        <w:numPr>
          <w:ilvl w:val="0"/>
          <w:numId w:val="1"/>
        </w:numPr>
        <w:spacing w:after="40" w:before="40" w:line="2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>NIST AI Risk Management Framework (AI RMF 1.0, 2023; revision in progress 2026).</w:t>
      </w:r>
    </w:p>
    <w:p>
      <w:pPr>
        <w:pStyle w:val="ListParagraph"/>
        <w:numPr>
          <w:ilvl w:val="0"/>
          <w:numId w:val="1"/>
        </w:numPr>
        <w:spacing w:after="40" w:before="40" w:line="2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>EU AI Act — Regulation (EU) 2024/1689, as amended by the Digital Omnibus on AI (2026).</w:t>
      </w:r>
    </w:p>
    <w:p>
      <w:pPr>
        <w:pStyle w:val="ListParagraph"/>
        <w:numPr>
          <w:ilvl w:val="0"/>
          <w:numId w:val="1"/>
        </w:numPr>
        <w:spacing w:after="40" w:before="40" w:line="2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>GDPR — Regulation (EU) 2016/679; UK GDPR and the Data (Use and Access) Act 2025.</w:t>
      </w:r>
    </w:p>
    <w:p>
      <w:pPr>
        <w:spacing w:after="16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3"/>
          <w:sz w:val="20"/>
          <w:szCs w:val="20"/>
        </w:rPr>
        <w:t xml:space="preserve"/>
      </w:r>
    </w:p>
    <w:tbl>
      <w:tblPr>
        <w:tblW w:type="dxa" w:w="10080"/>
        <w:tblBorders>
          <w:top w:val="single" w:color="B7791F" w:sz="4"/>
          <w:left w:val="single" w:color="B7791F" w:sz="18"/>
          <w:bottom w:val="single" w:color="B7791F" w:sz="4"/>
          <w:right w:val="single" w:color="B7791F" w:sz="4"/>
          <w:insideH w:val="none" w:color="FFFFFF" w:sz="0"/>
          <w:insideV w:val="none" w:color="FFFFFF" w:sz="0"/>
        </w:tblBorders>
      </w:tblPr>
      <w:tblGrid>
        <w:gridCol w:w="10080"/>
      </w:tblGrid>
      <w:tr>
        <w:tc>
          <w:tcPr>
            <w:tcW w:type="dxa" w:w="10080"/>
            <w:shd w:fill="FFF6E5" w:color="auto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pPr>
              <w:spacing w:after="100" w:before="0" w:line="26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B7791F"/>
                <w:sz w:val="22"/>
                <w:szCs w:val="22"/>
              </w:rPr>
              <w:t xml:space="preserve">Important</w:t>
            </w:r>
          </w:p>
          <w:p>
            <w:pPr>
              <w:spacing w:after="80" w:before="0" w:line="26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3"/>
                <w:sz w:val="19"/>
                <w:szCs w:val="19"/>
              </w:rPr>
              <w:t xml:space="preserve">This checklist is operational best practice, not legal advice. For contracts, sanctions screening or regulated sectors, take professional advice.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300" w:right="1080" w:bottom="1100" w:left="1080" w:header="480" w:footer="38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9B809" w:sz="12" w:space="6"/>
      </w:pBdr>
      <w:spacing w:after="0" w:before="0"/>
    </w:pPr>
    <w:r>
      <w:rPr>
        <w:rFonts w:ascii="Calibri" w:cs="Calibri" w:eastAsia="Calibri" w:hAnsi="Calibri"/>
        <w:b w:val="false"/>
        <w:bCs w:val="false"/>
        <w:i w:val="false"/>
        <w:iCs w:val="false"/>
        <w:color w:val="1F2933"/>
        <w:sz w:val="20"/>
        <w:szCs w:val="20"/>
      </w:rPr>
      <w:t xml:space="preserve"/>
    </w:r>
  </w:p>
  <w:p>
    <w:pPr>
      <w:spacing w:after="0" w:before="60"/>
      <w:jc w:val="center"/>
    </w:pPr>
    <w:r>
      <w:rPr>
        <w:rFonts w:ascii="Calibri" w:cs="Calibri" w:eastAsia="Calibri" w:hAnsi="Calibri"/>
        <w:b w:val="false"/>
        <w:bCs w:val="false"/>
        <w:i w:val="false"/>
        <w:iCs w:val="false"/>
        <w:color w:val="666666"/>
        <w:sz w:val="16"/>
        <w:szCs w:val="16"/>
      </w:rPr>
      <w:t xml:space="preserve">safeaiforbusiness.com  ·  Practical AI governance for SMEs  ·  Page </w:t>
    </w:r>
    <w:r>
      <w:rPr>
        <w:rFonts w:ascii="Calibri" w:cs="Calibri" w:eastAsia="Calibri" w:hAnsi="Calibri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b w:val="false"/>
        <w:bCs w:val="false"/>
        <w:i w:val="false"/>
        <w:iCs w:val="false"/>
        <w:color w:val="666666"/>
        <w:sz w:val="16"/>
        <w:szCs w:val="16"/>
      </w:rPr>
      <w:t xml:space="preserve"> of </w:t>
    </w:r>
    <w:r>
      <w:rPr>
        <w:rFonts w:ascii="Calibri" w:cs="Calibri" w:eastAsia="Calibri" w:hAnsi="Calibri"/>
        <w:color w:val="666666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10080"/>
      <w:tblBorders>
        <w:top w:val="none" w:color="FFFFFF" w:sz="0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9180"/>
    </w:tblGrid>
    <w:tr>
      <w:tc>
        <w:tcPr>
          <w:tcW w:type="dxa" w:w="900"/>
          <w:tcMar>
            <w:top w:type="dxa" w:w="80"/>
            <w:left w:type="dxa" w:w="120"/>
            <w:bottom w:type="dxa" w:w="80"/>
            <w:right w:type="dxa" w:w="120"/>
          </w:tcMar>
          <w:vAlign w:val="center"/>
        </w:tcPr>
        <w:p>
          <w:pPr>
            <w:spacing w:after="0"/>
          </w:pPr>
          <w:r>
            <w:drawing>
              <wp:inline distT="0" distB="0" distL="0" distR="0">
                <wp:extent cx="400050" cy="4000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9180"/>
          <w:tcMar>
            <w:top w:type="dxa" w:w="80"/>
            <w:left w:type="dxa" w:w="120"/>
            <w:bottom w:type="dxa" w:w="80"/>
            <w:right w:type="dxa" w:w="120"/>
          </w:tcMar>
          <w:vAlign w:val="center"/>
        </w:tcPr>
        <w:p>
          <w:pPr>
            <w:spacing w:after="0" w:before="0" w:line="260"/>
            <w:jc w:val="right"/>
          </w:pPr>
          <w:r>
            <w:rPr>
              <w:rFonts w:ascii="Calibri" w:cs="Calibri" w:eastAsia="Calibri" w:hAnsi="Calibri"/>
              <w:b/>
              <w:bCs/>
              <w:i w:val="false"/>
              <w:iCs w:val="false"/>
              <w:color w:val="666666"/>
              <w:sz w:val="19"/>
              <w:szCs w:val="19"/>
            </w:rPr>
            <w:t xml:space="preserve">SafeAI for Business</w:t>
          </w:r>
        </w:p>
        <w:p>
          <w:pPr>
            <w:spacing w:after="0" w:before="0" w:line="260"/>
            <w:jc w:val="right"/>
          </w:pPr>
          <w:r>
            <w:rPr>
              <w:rFonts w:ascii="Calibri" w:cs="Calibri" w:eastAsia="Calibri" w:hAnsi="Calibri"/>
              <w:b w:val="false"/>
              <w:bCs w:val="false"/>
              <w:i w:val="false"/>
              <w:iCs w:val="false"/>
              <w:color w:val="666666"/>
              <w:sz w:val="17"/>
              <w:szCs w:val="17"/>
            </w:rPr>
            <w:t xml:space="preserve">Version 2.0  ·  July 2026</w:t>
          </w:r>
        </w:p>
      </w:tc>
    </w:tr>
  </w:tbl>
  <w:p>
    <w:pPr>
      <w:pBdr>
        <w:bottom w:val="single" w:color="09B809" w:sz="12" w:space="1"/>
      </w:pBdr>
      <w:spacing w:after="0" w:before="60"/>
    </w:pPr>
    <w:r>
      <w:rPr>
        <w:rFonts w:ascii="Calibri" w:cs="Calibri" w:eastAsia="Calibri" w:hAnsi="Calibri"/>
        <w:b w:val="false"/>
        <w:bCs w:val="false"/>
        <w:i w:val="false"/>
        <w:iCs w:val="false"/>
        <w:color w:val="1F2933"/>
        <w:sz w:val="20"/>
        <w:szCs w:val="20"/>
      </w:rPr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240"/>
      </w:pPr>
    </w:lvl>
    <w:lvl w:ilvl="1" w15:tentative="1">
      <w:start w:val="1"/>
      <w:numFmt w:val="bullet"/>
      <w:lvlText w:val="◦"/>
      <w:lvlJc w:val="left"/>
      <w:pPr>
        <w:ind w:left="720" w:hanging="24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F2933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f0692b168def25e93f7e679f24bbea64e324689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2026-07-23T04:21:22.744Z</dcterms:created>
  <dcterms:modified xsi:type="dcterms:W3CDTF">2026-07-23T04:21:22.744Z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